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1ACD8">
      <w:pPr>
        <w:pStyle w:val="5"/>
        <w:numPr>
          <w:ilvl w:val="1"/>
          <w:numId w:val="2"/>
        </w:numPr>
        <w:rPr>
          <w:highlight w:val="none"/>
        </w:rPr>
      </w:pPr>
      <w:r>
        <w:rPr>
          <w:rFonts w:hint="eastAsia"/>
          <w:highlight w:val="none"/>
        </w:rPr>
        <w:t xml:space="preserve"> </w:t>
      </w:r>
      <w:r>
        <w:rPr>
          <w:highlight w:val="none"/>
        </w:rPr>
        <w:t>综合评分</w:t>
      </w:r>
    </w:p>
    <w:p w14:paraId="26EFEE9C">
      <w:pPr>
        <w:pStyle w:val="18"/>
        <w:numPr>
          <w:ilvl w:val="2"/>
          <w:numId w:val="2"/>
        </w:numPr>
        <w:tabs>
          <w:tab w:val="left" w:pos="1313"/>
        </w:tabs>
        <w:spacing w:before="158" w:line="360" w:lineRule="auto"/>
        <w:rPr>
          <w:sz w:val="21"/>
          <w:szCs w:val="21"/>
          <w:highlight w:val="none"/>
        </w:rPr>
      </w:pPr>
      <w:r>
        <w:rPr>
          <w:sz w:val="21"/>
          <w:szCs w:val="21"/>
          <w:highlight w:val="none"/>
        </w:rPr>
        <w:t>磋商小组按照下表对进入综合评分的所有供应商的响应文件进行综合</w:t>
      </w:r>
      <w:r>
        <w:rPr>
          <w:rFonts w:hint="eastAsia"/>
          <w:sz w:val="21"/>
          <w:szCs w:val="21"/>
          <w:highlight w:val="none"/>
          <w:lang w:val="en-US"/>
        </w:rPr>
        <w:t>评分。</w:t>
      </w:r>
    </w:p>
    <w:p w14:paraId="2580D95A">
      <w:pPr>
        <w:pStyle w:val="18"/>
        <w:numPr>
          <w:ilvl w:val="2"/>
          <w:numId w:val="2"/>
        </w:numPr>
        <w:tabs>
          <w:tab w:val="left" w:pos="834"/>
          <w:tab w:val="left" w:pos="1330"/>
          <w:tab w:val="left" w:pos="4435"/>
        </w:tabs>
        <w:spacing w:before="160" w:after="6" w:line="360" w:lineRule="auto"/>
        <w:ind w:left="234" w:right="371" w:firstLine="434"/>
        <w:rPr>
          <w:sz w:val="21"/>
          <w:szCs w:val="21"/>
          <w:highlight w:val="none"/>
        </w:rPr>
      </w:pPr>
      <w:r>
        <w:rPr>
          <w:sz w:val="21"/>
          <w:szCs w:val="21"/>
          <w:highlight w:val="none"/>
        </w:rPr>
        <w:t>本项目综合评分满分为</w:t>
      </w:r>
      <w:r>
        <w:rPr>
          <w:spacing w:val="-60"/>
          <w:sz w:val="21"/>
          <w:szCs w:val="21"/>
          <w:highlight w:val="none"/>
        </w:rPr>
        <w:t xml:space="preserve"> </w:t>
      </w:r>
      <w:r>
        <w:rPr>
          <w:sz w:val="21"/>
          <w:szCs w:val="21"/>
          <w:highlight w:val="none"/>
        </w:rPr>
        <w:t>100</w:t>
      </w:r>
      <w:r>
        <w:rPr>
          <w:spacing w:val="-60"/>
          <w:sz w:val="21"/>
          <w:szCs w:val="21"/>
          <w:highlight w:val="none"/>
        </w:rPr>
        <w:t xml:space="preserve"> </w:t>
      </w:r>
      <w:r>
        <w:rPr>
          <w:sz w:val="21"/>
          <w:szCs w:val="21"/>
          <w:highlight w:val="none"/>
        </w:rPr>
        <w:t>分</w:t>
      </w:r>
      <w:r>
        <w:rPr>
          <w:spacing w:val="-8"/>
          <w:sz w:val="21"/>
          <w:szCs w:val="21"/>
          <w:highlight w:val="none"/>
        </w:rPr>
        <w:t>，</w:t>
      </w:r>
      <w:r>
        <w:rPr>
          <w:sz w:val="21"/>
          <w:szCs w:val="21"/>
          <w:highlight w:val="none"/>
        </w:rPr>
        <w:t>其中</w:t>
      </w:r>
      <w:r>
        <w:rPr>
          <w:spacing w:val="-10"/>
          <w:sz w:val="21"/>
          <w:szCs w:val="21"/>
          <w:highlight w:val="none"/>
        </w:rPr>
        <w:t>：</w:t>
      </w:r>
      <w:r>
        <w:rPr>
          <w:sz w:val="21"/>
          <w:szCs w:val="21"/>
          <w:highlight w:val="none"/>
        </w:rPr>
        <w:t>技术资信分值占总分值的权</w:t>
      </w:r>
      <w:r>
        <w:rPr>
          <w:spacing w:val="-15"/>
          <w:sz w:val="21"/>
          <w:szCs w:val="21"/>
          <w:highlight w:val="none"/>
        </w:rPr>
        <w:t>重</w:t>
      </w:r>
      <w:r>
        <w:rPr>
          <w:sz w:val="21"/>
          <w:szCs w:val="21"/>
          <w:highlight w:val="none"/>
        </w:rPr>
        <w:t>为</w:t>
      </w:r>
      <w:r>
        <w:rPr>
          <w:sz w:val="21"/>
          <w:szCs w:val="21"/>
          <w:highlight w:val="none"/>
          <w:u w:val="single"/>
        </w:rPr>
        <w:t xml:space="preserve"> </w:t>
      </w:r>
      <w:r>
        <w:rPr>
          <w:rFonts w:hint="eastAsia"/>
          <w:sz w:val="21"/>
          <w:szCs w:val="21"/>
          <w:highlight w:val="none"/>
          <w:u w:val="single"/>
          <w:lang w:val="en-US"/>
        </w:rPr>
        <w:t xml:space="preserve">70 </w:t>
      </w:r>
      <w:r>
        <w:rPr>
          <w:sz w:val="21"/>
          <w:szCs w:val="21"/>
          <w:highlight w:val="none"/>
        </w:rPr>
        <w:t>%，价格分值占总分值的权重为</w:t>
      </w:r>
      <w:r>
        <w:rPr>
          <w:sz w:val="21"/>
          <w:szCs w:val="21"/>
          <w:highlight w:val="none"/>
          <w:u w:val="single"/>
        </w:rPr>
        <w:t xml:space="preserve"> </w:t>
      </w:r>
      <w:r>
        <w:rPr>
          <w:rFonts w:hint="eastAsia"/>
          <w:sz w:val="21"/>
          <w:szCs w:val="21"/>
          <w:highlight w:val="none"/>
          <w:u w:val="single"/>
          <w:lang w:val="en-US"/>
        </w:rPr>
        <w:t xml:space="preserve">30 </w:t>
      </w:r>
      <w:r>
        <w:rPr>
          <w:sz w:val="21"/>
          <w:szCs w:val="21"/>
          <w:highlight w:val="none"/>
        </w:rPr>
        <w:t>%</w:t>
      </w:r>
      <w:r>
        <w:rPr>
          <w:rFonts w:hint="eastAsia"/>
          <w:sz w:val="21"/>
          <w:szCs w:val="21"/>
          <w:highlight w:val="none"/>
        </w:rPr>
        <w:t>（价格分值占总分值的比重(即权值)为10%至30%。）《竞争性磋商管理办法规定》</w:t>
      </w:r>
      <w:r>
        <w:rPr>
          <w:sz w:val="21"/>
          <w:szCs w:val="21"/>
          <w:highlight w:val="none"/>
        </w:rPr>
        <w:t>。具体评分细则如下：</w:t>
      </w:r>
    </w:p>
    <w:p w14:paraId="4C220B6A">
      <w:pPr>
        <w:pStyle w:val="11"/>
        <w:spacing w:line="360" w:lineRule="auto"/>
        <w:ind w:left="0"/>
        <w:rPr>
          <w:sz w:val="21"/>
          <w:szCs w:val="21"/>
          <w:highlight w:val="none"/>
        </w:rPr>
      </w:pPr>
    </w:p>
    <w:tbl>
      <w:tblPr>
        <w:tblStyle w:val="13"/>
        <w:tblpPr w:leftFromText="180" w:rightFromText="180" w:vertAnchor="text" w:horzAnchor="margin" w:tblpY="163"/>
        <w:tblW w:w="85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8"/>
        <w:gridCol w:w="1721"/>
        <w:gridCol w:w="3744"/>
        <w:gridCol w:w="1579"/>
      </w:tblGrid>
      <w:tr w14:paraId="05059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78" w:type="dxa"/>
            <w:noWrap w:val="0"/>
            <w:vAlign w:val="top"/>
          </w:tcPr>
          <w:p w14:paraId="45EB9848">
            <w:pPr>
              <w:pStyle w:val="19"/>
              <w:keepNext w:val="0"/>
              <w:keepLines w:val="0"/>
              <w:pageBreakBefore w:val="0"/>
              <w:kinsoku/>
              <w:wordWrap/>
              <w:overflowPunct/>
              <w:topLinePunct w:val="0"/>
              <w:bidi w:val="0"/>
              <w:adjustRightInd/>
              <w:snapToGrid/>
              <w:spacing w:before="79" w:line="240" w:lineRule="auto"/>
              <w:ind w:left="496"/>
              <w:textAlignment w:val="auto"/>
              <w:rPr>
                <w:rFonts w:hint="eastAsia" w:ascii="宋体" w:hAnsi="宋体" w:eastAsia="宋体" w:cs="宋体"/>
                <w:b/>
                <w:sz w:val="24"/>
                <w:szCs w:val="24"/>
                <w:highlight w:val="none"/>
                <w:lang w:eastAsia="en-US"/>
              </w:rPr>
            </w:pPr>
            <w:r>
              <w:rPr>
                <w:rFonts w:hint="eastAsia" w:ascii="宋体" w:hAnsi="宋体" w:eastAsia="宋体" w:cs="宋体"/>
                <w:b/>
                <w:sz w:val="24"/>
                <w:szCs w:val="24"/>
                <w:highlight w:val="none"/>
                <w:lang w:eastAsia="en-US"/>
              </w:rPr>
              <w:t>类别</w:t>
            </w:r>
          </w:p>
        </w:tc>
        <w:tc>
          <w:tcPr>
            <w:tcW w:w="1721" w:type="dxa"/>
            <w:noWrap w:val="0"/>
            <w:vAlign w:val="top"/>
          </w:tcPr>
          <w:p w14:paraId="02972DF7">
            <w:pPr>
              <w:pStyle w:val="19"/>
              <w:keepNext w:val="0"/>
              <w:keepLines w:val="0"/>
              <w:pageBreakBefore w:val="0"/>
              <w:kinsoku/>
              <w:wordWrap/>
              <w:overflowPunct/>
              <w:topLinePunct w:val="0"/>
              <w:bidi w:val="0"/>
              <w:adjustRightInd/>
              <w:snapToGrid/>
              <w:spacing w:before="79" w:line="240" w:lineRule="auto"/>
              <w:ind w:left="357" w:right="350"/>
              <w:jc w:val="center"/>
              <w:textAlignment w:val="auto"/>
              <w:rPr>
                <w:rFonts w:hint="eastAsia" w:ascii="宋体" w:hAnsi="宋体" w:eastAsia="宋体" w:cs="宋体"/>
                <w:b/>
                <w:sz w:val="24"/>
                <w:szCs w:val="24"/>
                <w:highlight w:val="none"/>
                <w:lang w:eastAsia="en-US"/>
              </w:rPr>
            </w:pPr>
            <w:r>
              <w:rPr>
                <w:rFonts w:hint="eastAsia" w:ascii="宋体" w:hAnsi="宋体" w:eastAsia="宋体" w:cs="宋体"/>
                <w:b/>
                <w:sz w:val="24"/>
                <w:szCs w:val="24"/>
                <w:highlight w:val="none"/>
                <w:lang w:eastAsia="en-US"/>
              </w:rPr>
              <w:t>评分内容</w:t>
            </w:r>
          </w:p>
        </w:tc>
        <w:tc>
          <w:tcPr>
            <w:tcW w:w="3744" w:type="dxa"/>
            <w:noWrap w:val="0"/>
            <w:vAlign w:val="top"/>
          </w:tcPr>
          <w:p w14:paraId="26357E56">
            <w:pPr>
              <w:pStyle w:val="19"/>
              <w:keepNext w:val="0"/>
              <w:keepLines w:val="0"/>
              <w:pageBreakBefore w:val="0"/>
              <w:kinsoku/>
              <w:wordWrap/>
              <w:overflowPunct/>
              <w:topLinePunct w:val="0"/>
              <w:bidi w:val="0"/>
              <w:adjustRightInd/>
              <w:snapToGrid/>
              <w:spacing w:before="79" w:line="240" w:lineRule="auto"/>
              <w:ind w:left="1367" w:right="1362"/>
              <w:jc w:val="center"/>
              <w:textAlignment w:val="auto"/>
              <w:rPr>
                <w:rFonts w:hint="eastAsia" w:ascii="宋体" w:hAnsi="宋体" w:eastAsia="宋体" w:cs="宋体"/>
                <w:b/>
                <w:sz w:val="24"/>
                <w:szCs w:val="24"/>
                <w:highlight w:val="none"/>
                <w:lang w:eastAsia="en-US"/>
              </w:rPr>
            </w:pPr>
            <w:r>
              <w:rPr>
                <w:rFonts w:hint="eastAsia" w:ascii="宋体" w:hAnsi="宋体" w:eastAsia="宋体" w:cs="宋体"/>
                <w:b/>
                <w:sz w:val="24"/>
                <w:szCs w:val="24"/>
                <w:highlight w:val="none"/>
                <w:lang w:eastAsia="en-US"/>
              </w:rPr>
              <w:t>评分标准</w:t>
            </w:r>
          </w:p>
        </w:tc>
        <w:tc>
          <w:tcPr>
            <w:tcW w:w="1579" w:type="dxa"/>
            <w:noWrap w:val="0"/>
            <w:vAlign w:val="top"/>
          </w:tcPr>
          <w:p w14:paraId="5715F675">
            <w:pPr>
              <w:pStyle w:val="19"/>
              <w:keepNext w:val="0"/>
              <w:keepLines w:val="0"/>
              <w:pageBreakBefore w:val="0"/>
              <w:kinsoku/>
              <w:wordWrap/>
              <w:overflowPunct/>
              <w:topLinePunct w:val="0"/>
              <w:bidi w:val="0"/>
              <w:adjustRightInd/>
              <w:snapToGrid/>
              <w:spacing w:before="79" w:line="240" w:lineRule="auto"/>
              <w:ind w:right="293"/>
              <w:jc w:val="right"/>
              <w:textAlignment w:val="auto"/>
              <w:rPr>
                <w:rFonts w:hint="eastAsia" w:ascii="宋体" w:hAnsi="宋体" w:eastAsia="宋体" w:cs="宋体"/>
                <w:b/>
                <w:sz w:val="24"/>
                <w:szCs w:val="24"/>
                <w:highlight w:val="none"/>
                <w:lang w:eastAsia="en-US"/>
              </w:rPr>
            </w:pPr>
            <w:r>
              <w:rPr>
                <w:rFonts w:hint="eastAsia" w:ascii="宋体" w:hAnsi="宋体" w:eastAsia="宋体" w:cs="宋体"/>
                <w:b/>
                <w:sz w:val="24"/>
                <w:szCs w:val="24"/>
                <w:highlight w:val="none"/>
                <w:lang w:eastAsia="en-US"/>
              </w:rPr>
              <w:t>分值范围</w:t>
            </w:r>
          </w:p>
        </w:tc>
      </w:tr>
      <w:tr w14:paraId="0532F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78" w:type="dxa"/>
            <w:vMerge w:val="restart"/>
            <w:noWrap w:val="0"/>
            <w:vAlign w:val="top"/>
          </w:tcPr>
          <w:p w14:paraId="2B5FAD20">
            <w:pPr>
              <w:pStyle w:val="1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4"/>
                <w:szCs w:val="24"/>
                <w:highlight w:val="none"/>
                <w:lang w:eastAsia="en-US"/>
              </w:rPr>
            </w:pPr>
          </w:p>
          <w:p w14:paraId="6CED18F6">
            <w:pPr>
              <w:pStyle w:val="1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4"/>
                <w:szCs w:val="24"/>
                <w:highlight w:val="none"/>
                <w:lang w:eastAsia="en-US"/>
              </w:rPr>
            </w:pPr>
          </w:p>
          <w:p w14:paraId="088CA901">
            <w:pPr>
              <w:pStyle w:val="19"/>
              <w:keepNext w:val="0"/>
              <w:keepLines w:val="0"/>
              <w:pageBreakBefore w:val="0"/>
              <w:kinsoku/>
              <w:wordWrap/>
              <w:overflowPunct/>
              <w:topLinePunct w:val="0"/>
              <w:bidi w:val="0"/>
              <w:adjustRightInd/>
              <w:snapToGrid/>
              <w:spacing w:before="3" w:line="240" w:lineRule="auto"/>
              <w:textAlignment w:val="auto"/>
              <w:rPr>
                <w:rFonts w:hint="eastAsia" w:ascii="宋体" w:hAnsi="宋体" w:eastAsia="宋体" w:cs="宋体"/>
                <w:sz w:val="24"/>
                <w:szCs w:val="24"/>
                <w:highlight w:val="none"/>
                <w:lang w:eastAsia="en-US"/>
              </w:rPr>
            </w:pPr>
          </w:p>
          <w:p w14:paraId="1743459C">
            <w:pPr>
              <w:pStyle w:val="19"/>
              <w:keepNext w:val="0"/>
              <w:keepLines w:val="0"/>
              <w:pageBreakBefore w:val="0"/>
              <w:kinsoku/>
              <w:wordWrap/>
              <w:overflowPunct/>
              <w:topLinePunct w:val="0"/>
              <w:bidi w:val="0"/>
              <w:adjustRightInd/>
              <w:snapToGrid/>
              <w:spacing w:line="240" w:lineRule="auto"/>
              <w:ind w:left="139"/>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技术资信分</w:t>
            </w:r>
          </w:p>
          <w:p w14:paraId="4BB1F203">
            <w:pPr>
              <w:pStyle w:val="19"/>
              <w:keepNext w:val="0"/>
              <w:keepLines w:val="0"/>
              <w:pageBreakBefore w:val="0"/>
              <w:tabs>
                <w:tab w:val="left" w:pos="798"/>
              </w:tabs>
              <w:kinsoku/>
              <w:wordWrap/>
              <w:overflowPunct/>
              <w:topLinePunct w:val="0"/>
              <w:bidi w:val="0"/>
              <w:adjustRightInd/>
              <w:snapToGrid/>
              <w:spacing w:before="161" w:line="240" w:lineRule="auto"/>
              <w:ind w:left="199"/>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w:t>
            </w:r>
            <w:r>
              <w:rPr>
                <w:rFonts w:hint="eastAsia" w:ascii="宋体" w:hAnsi="宋体" w:eastAsia="宋体" w:cs="宋体"/>
                <w:sz w:val="24"/>
                <w:szCs w:val="24"/>
                <w:highlight w:val="none"/>
                <w:u w:val="single"/>
                <w:lang w:eastAsia="en-US"/>
              </w:rPr>
              <w:t xml:space="preserve"> </w:t>
            </w:r>
            <w:r>
              <w:rPr>
                <w:rFonts w:hint="eastAsia" w:ascii="宋体" w:hAnsi="宋体" w:eastAsia="宋体" w:cs="宋体"/>
                <w:sz w:val="24"/>
                <w:szCs w:val="24"/>
                <w:highlight w:val="none"/>
                <w:u w:val="single"/>
                <w:lang w:val="en-US" w:eastAsia="zh-CN"/>
              </w:rPr>
              <w:t>70</w:t>
            </w:r>
            <w:r>
              <w:rPr>
                <w:rFonts w:hint="eastAsia" w:ascii="宋体" w:hAnsi="宋体" w:eastAsia="宋体" w:cs="宋体"/>
                <w:sz w:val="24"/>
                <w:szCs w:val="24"/>
                <w:highlight w:val="none"/>
                <w:u w:val="single"/>
                <w:lang w:eastAsia="en-US"/>
              </w:rPr>
              <w:tab/>
            </w:r>
            <w:r>
              <w:rPr>
                <w:rFonts w:hint="eastAsia" w:ascii="宋体" w:hAnsi="宋体" w:eastAsia="宋体" w:cs="宋体"/>
                <w:sz w:val="24"/>
                <w:szCs w:val="24"/>
                <w:highlight w:val="none"/>
                <w:lang w:eastAsia="en-US"/>
              </w:rPr>
              <w:t>分）</w:t>
            </w:r>
          </w:p>
        </w:tc>
        <w:tc>
          <w:tcPr>
            <w:tcW w:w="1721" w:type="dxa"/>
            <w:noWrap w:val="0"/>
            <w:vAlign w:val="top"/>
          </w:tcPr>
          <w:p w14:paraId="518D8400">
            <w:pPr>
              <w:pStyle w:val="19"/>
              <w:keepNext w:val="0"/>
              <w:keepLines w:val="0"/>
              <w:pageBreakBefore w:val="0"/>
              <w:kinsoku/>
              <w:wordWrap/>
              <w:overflowPunct/>
              <w:topLinePunct w:val="0"/>
              <w:bidi w:val="0"/>
              <w:adjustRightInd/>
              <w:snapToGrid/>
              <w:spacing w:before="81" w:line="240" w:lineRule="auto"/>
              <w:ind w:left="357" w:right="350"/>
              <w:jc w:val="center"/>
              <w:textAlignment w:val="auto"/>
              <w:rPr>
                <w:rFonts w:hint="eastAsia" w:ascii="宋体" w:hAnsi="宋体" w:eastAsia="宋体" w:cs="宋体"/>
                <w:sz w:val="24"/>
                <w:szCs w:val="24"/>
                <w:highlight w:val="none"/>
                <w:lang w:eastAsia="en-US"/>
              </w:rPr>
            </w:pPr>
            <w:r>
              <w:rPr>
                <w:rFonts w:hint="eastAsia" w:ascii="宋体" w:hAnsi="宋体" w:eastAsia="宋体" w:cs="宋体"/>
                <w:color w:val="000000" w:themeColor="text1"/>
                <w:kern w:val="0"/>
                <w:sz w:val="24"/>
                <w:szCs w:val="24"/>
                <w:highlight w:val="none"/>
                <w:lang w:eastAsia="en-US" w:bidi="zh-CN"/>
                <w14:textFill>
                  <w14:solidFill>
                    <w14:schemeClr w14:val="tx1"/>
                  </w14:solidFill>
                </w14:textFill>
              </w:rPr>
              <w:t>技术参数</w:t>
            </w:r>
          </w:p>
        </w:tc>
        <w:tc>
          <w:tcPr>
            <w:tcW w:w="3744" w:type="dxa"/>
            <w:noWrap w:val="0"/>
            <w:vAlign w:val="top"/>
          </w:tcPr>
          <w:p w14:paraId="12D058C6">
            <w:pPr>
              <w:pStyle w:val="19"/>
              <w:keepNext w:val="0"/>
              <w:keepLines w:val="0"/>
              <w:pageBreakBefore w:val="0"/>
              <w:kinsoku/>
              <w:wordWrap/>
              <w:overflowPunct/>
              <w:topLinePunct w:val="0"/>
              <w:bidi w:val="0"/>
              <w:adjustRightInd/>
              <w:snapToGrid/>
              <w:spacing w:before="185"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供应商所投产品每满足</w:t>
            </w:r>
            <w:r>
              <w:rPr>
                <w:rFonts w:hint="eastAsia" w:ascii="宋体" w:hAnsi="宋体" w:eastAsia="宋体" w:cs="宋体"/>
                <w:sz w:val="24"/>
                <w:szCs w:val="24"/>
                <w:highlight w:val="none"/>
                <w:lang w:val="en-US" w:eastAsia="zh-CN"/>
              </w:rPr>
              <w:t>或优于</w:t>
            </w:r>
            <w:r>
              <w:rPr>
                <w:rFonts w:hint="eastAsia" w:ascii="宋体" w:hAnsi="宋体" w:eastAsia="宋体" w:cs="宋体"/>
                <w:sz w:val="24"/>
                <w:szCs w:val="24"/>
                <w:highlight w:val="none"/>
              </w:rPr>
              <w:t>一项</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★的技术参数加</w:t>
            </w:r>
            <w:r>
              <w:rPr>
                <w:rFonts w:hint="eastAsia" w:cs="宋体"/>
                <w:sz w:val="24"/>
                <w:szCs w:val="24"/>
                <w:highlight w:val="none"/>
                <w:lang w:val="en-US" w:eastAsia="zh-CN"/>
              </w:rPr>
              <w:t>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共</w:t>
            </w:r>
            <w:r>
              <w:rPr>
                <w:rFonts w:hint="eastAsia" w:cs="宋体"/>
                <w:sz w:val="24"/>
                <w:szCs w:val="24"/>
                <w:highlight w:val="none"/>
                <w:lang w:val="en-US" w:eastAsia="zh-CN"/>
              </w:rPr>
              <w:t>9</w:t>
            </w:r>
            <w:r>
              <w:rPr>
                <w:rFonts w:hint="eastAsia" w:ascii="宋体" w:hAnsi="宋体" w:eastAsia="宋体" w:cs="宋体"/>
                <w:sz w:val="24"/>
                <w:szCs w:val="24"/>
                <w:highlight w:val="none"/>
                <w:lang w:val="en-US" w:eastAsia="zh-CN"/>
              </w:rPr>
              <w:t>项，</w:t>
            </w:r>
            <w:r>
              <w:rPr>
                <w:rFonts w:hint="eastAsia" w:cs="宋体"/>
                <w:sz w:val="24"/>
                <w:szCs w:val="24"/>
                <w:highlight w:val="none"/>
                <w:lang w:val="en-US" w:eastAsia="zh-CN"/>
              </w:rPr>
              <w:t>全部满足得满分，</w:t>
            </w:r>
            <w:r>
              <w:rPr>
                <w:rFonts w:hint="eastAsia" w:ascii="宋体" w:hAnsi="宋体" w:eastAsia="宋体" w:cs="宋体"/>
                <w:sz w:val="24"/>
                <w:szCs w:val="24"/>
                <w:highlight w:val="none"/>
                <w:lang w:val="en-US" w:eastAsia="zh-CN"/>
              </w:rPr>
              <w:t>本项</w:t>
            </w:r>
            <w:r>
              <w:rPr>
                <w:rFonts w:hint="eastAsia" w:ascii="宋体" w:hAnsi="宋体" w:eastAsia="宋体" w:cs="宋体"/>
                <w:sz w:val="24"/>
                <w:szCs w:val="24"/>
                <w:highlight w:val="none"/>
              </w:rPr>
              <w:t>满分</w:t>
            </w:r>
            <w:r>
              <w:rPr>
                <w:rFonts w:hint="eastAsia" w:cs="宋体"/>
                <w:sz w:val="24"/>
                <w:szCs w:val="24"/>
                <w:highlight w:val="none"/>
                <w:lang w:val="en-US" w:eastAsia="zh-CN"/>
              </w:rPr>
              <w:t>18</w:t>
            </w:r>
            <w:r>
              <w:rPr>
                <w:rFonts w:hint="eastAsia" w:ascii="宋体" w:hAnsi="宋体" w:eastAsia="宋体" w:cs="宋体"/>
                <w:sz w:val="24"/>
                <w:szCs w:val="24"/>
                <w:highlight w:val="none"/>
              </w:rPr>
              <w:t>分。</w:t>
            </w:r>
          </w:p>
          <w:p w14:paraId="7F9D4489">
            <w:pPr>
              <w:pStyle w:val="19"/>
              <w:keepNext w:val="0"/>
              <w:keepLines w:val="0"/>
              <w:pageBreakBefore w:val="0"/>
              <w:kinsoku/>
              <w:wordWrap/>
              <w:overflowPunct/>
              <w:topLinePunct w:val="0"/>
              <w:bidi w:val="0"/>
              <w:adjustRightInd/>
              <w:snapToGrid/>
              <w:spacing w:before="185"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★的技术参数供应商应附医疗器械注册证或第三方机构出具的检验或检测报告或技术白皮书或功能截图或说明书或</w:t>
            </w:r>
            <w:r>
              <w:rPr>
                <w:rFonts w:hint="eastAsia" w:cs="宋体"/>
                <w:sz w:val="24"/>
                <w:szCs w:val="24"/>
                <w:highlight w:val="none"/>
                <w:lang w:val="en-US" w:eastAsia="zh-CN"/>
              </w:rPr>
              <w:t>磋商小组</w:t>
            </w:r>
            <w:r>
              <w:rPr>
                <w:rFonts w:hint="eastAsia" w:ascii="宋体" w:hAnsi="宋体" w:eastAsia="宋体" w:cs="宋体"/>
                <w:sz w:val="24"/>
                <w:szCs w:val="24"/>
                <w:highlight w:val="none"/>
              </w:rPr>
              <w:t>认可的其它资料。</w:t>
            </w:r>
          </w:p>
          <w:p w14:paraId="69DE75D7">
            <w:pPr>
              <w:pStyle w:val="19"/>
              <w:keepNext w:val="0"/>
              <w:keepLines w:val="0"/>
              <w:pageBreakBefore w:val="0"/>
              <w:numPr>
                <w:ilvl w:val="0"/>
                <w:numId w:val="0"/>
              </w:numPr>
              <w:kinsoku/>
              <w:wordWrap/>
              <w:overflowPunct/>
              <w:topLinePunct w:val="0"/>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建议</w:t>
            </w:r>
            <w:r>
              <w:rPr>
                <w:rFonts w:hint="eastAsia" w:cs="宋体"/>
                <w:sz w:val="24"/>
                <w:szCs w:val="24"/>
                <w:highlight w:val="none"/>
                <w:lang w:val="en-US" w:eastAsia="zh-CN"/>
              </w:rPr>
              <w:t>供应商</w:t>
            </w:r>
            <w:r>
              <w:rPr>
                <w:rFonts w:hint="eastAsia" w:ascii="宋体" w:hAnsi="宋体" w:eastAsia="宋体" w:cs="宋体"/>
                <w:sz w:val="24"/>
                <w:szCs w:val="24"/>
                <w:highlight w:val="none"/>
              </w:rPr>
              <w:t>对相应内容在证明材料中进行逐一标注，以方便</w:t>
            </w:r>
            <w:r>
              <w:rPr>
                <w:rFonts w:hint="eastAsia" w:cs="宋体"/>
                <w:sz w:val="24"/>
                <w:szCs w:val="24"/>
                <w:highlight w:val="none"/>
                <w:lang w:val="en-US" w:eastAsia="zh-CN"/>
              </w:rPr>
              <w:t>磋商小组</w:t>
            </w:r>
            <w:r>
              <w:rPr>
                <w:rFonts w:hint="eastAsia" w:ascii="宋体" w:hAnsi="宋体" w:eastAsia="宋体" w:cs="宋体"/>
                <w:sz w:val="24"/>
                <w:szCs w:val="24"/>
                <w:highlight w:val="none"/>
              </w:rPr>
              <w:t>评审。</w:t>
            </w:r>
          </w:p>
        </w:tc>
        <w:tc>
          <w:tcPr>
            <w:tcW w:w="1579" w:type="dxa"/>
            <w:noWrap w:val="0"/>
            <w:vAlign w:val="top"/>
          </w:tcPr>
          <w:p w14:paraId="793189D5">
            <w:pPr>
              <w:pStyle w:val="19"/>
              <w:keepNext w:val="0"/>
              <w:keepLines w:val="0"/>
              <w:pageBreakBefore w:val="0"/>
              <w:tabs>
                <w:tab w:val="left" w:pos="599"/>
              </w:tabs>
              <w:kinsoku/>
              <w:wordWrap/>
              <w:overflowPunct/>
              <w:topLinePunct w:val="0"/>
              <w:bidi w:val="0"/>
              <w:adjustRightInd/>
              <w:snapToGrid/>
              <w:spacing w:before="81" w:line="240" w:lineRule="auto"/>
              <w:ind w:right="355"/>
              <w:jc w:val="right"/>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0-</w:t>
            </w:r>
            <w:r>
              <w:rPr>
                <w:rFonts w:hint="eastAsia" w:cs="宋体"/>
                <w:sz w:val="24"/>
                <w:szCs w:val="24"/>
                <w:highlight w:val="none"/>
                <w:u w:val="single"/>
                <w:lang w:val="en-US" w:eastAsia="zh-CN"/>
              </w:rPr>
              <w:t>18</w:t>
            </w:r>
            <w:r>
              <w:rPr>
                <w:rFonts w:hint="eastAsia" w:ascii="宋体" w:hAnsi="宋体" w:eastAsia="宋体" w:cs="宋体"/>
                <w:sz w:val="24"/>
                <w:szCs w:val="24"/>
                <w:highlight w:val="none"/>
                <w:lang w:eastAsia="en-US"/>
              </w:rPr>
              <w:t>分</w:t>
            </w:r>
          </w:p>
        </w:tc>
      </w:tr>
      <w:tr w14:paraId="0F34D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78" w:type="dxa"/>
            <w:vMerge w:val="continue"/>
            <w:tcBorders>
              <w:top w:val="nil"/>
            </w:tcBorders>
            <w:noWrap w:val="0"/>
            <w:vAlign w:val="top"/>
          </w:tcPr>
          <w:p w14:paraId="22F97CD6">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kern w:val="0"/>
                <w:sz w:val="24"/>
                <w:szCs w:val="24"/>
                <w:highlight w:val="none"/>
                <w:lang w:eastAsia="en-US"/>
              </w:rPr>
            </w:pPr>
          </w:p>
        </w:tc>
        <w:tc>
          <w:tcPr>
            <w:tcW w:w="1721" w:type="dxa"/>
            <w:noWrap w:val="0"/>
            <w:vAlign w:val="top"/>
          </w:tcPr>
          <w:p w14:paraId="575815CA">
            <w:pPr>
              <w:pStyle w:val="19"/>
              <w:keepNext w:val="0"/>
              <w:keepLines w:val="0"/>
              <w:pageBreakBefore w:val="0"/>
              <w:kinsoku/>
              <w:wordWrap/>
              <w:overflowPunct/>
              <w:topLinePunct w:val="0"/>
              <w:bidi w:val="0"/>
              <w:adjustRightInd/>
              <w:snapToGrid/>
              <w:spacing w:before="79" w:line="240" w:lineRule="auto"/>
              <w:ind w:left="357" w:right="350"/>
              <w:jc w:val="center"/>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rPr>
              <w:t>业绩</w:t>
            </w:r>
          </w:p>
        </w:tc>
        <w:tc>
          <w:tcPr>
            <w:tcW w:w="3744" w:type="dxa"/>
            <w:noWrap w:val="0"/>
            <w:vAlign w:val="top"/>
          </w:tcPr>
          <w:p w14:paraId="58EBDECA">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自202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年1月1日以来（以合同签订时间为准）供应商提供</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rPr>
              <w:t>业绩，每个业绩得5分，满分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xml:space="preserve">分。 </w:t>
            </w:r>
          </w:p>
          <w:p w14:paraId="237429C1">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注： 1） 业绩考核主体为所投产品，不限乙方（供货方）合同签订主体，供应商如为制造商需提供制造商业绩合同，供应商如为代理商可提供制造商或代理商业绩合同均可。 </w:t>
            </w:r>
          </w:p>
          <w:p w14:paraId="1F9CDE26">
            <w:pPr>
              <w:pStyle w:val="19"/>
              <w:keepNext w:val="0"/>
              <w:keepLines w:val="0"/>
              <w:pageBreakBefore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文件中须同时提供业绩合同、验收证明材料扫描件，上述资料中必须体现产品品牌及型号，若合同或验收证明材料中无法体现所投产品品牌及型号、签订时间、供货内容</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关键评审因素的，须同时提供合同甲方（或采购方）证明材料，否则该项业绩视为无效。</w:t>
            </w:r>
          </w:p>
        </w:tc>
        <w:tc>
          <w:tcPr>
            <w:tcW w:w="1579" w:type="dxa"/>
            <w:noWrap w:val="0"/>
            <w:vAlign w:val="top"/>
          </w:tcPr>
          <w:p w14:paraId="62A72269">
            <w:pPr>
              <w:pStyle w:val="19"/>
              <w:keepNext w:val="0"/>
              <w:keepLines w:val="0"/>
              <w:pageBreakBefore w:val="0"/>
              <w:tabs>
                <w:tab w:val="left" w:pos="599"/>
              </w:tabs>
              <w:kinsoku/>
              <w:wordWrap/>
              <w:overflowPunct/>
              <w:topLinePunct w:val="0"/>
              <w:bidi w:val="0"/>
              <w:adjustRightInd/>
              <w:snapToGrid/>
              <w:spacing w:before="79" w:line="240" w:lineRule="auto"/>
              <w:ind w:right="355"/>
              <w:jc w:val="right"/>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0-</w:t>
            </w:r>
            <w:r>
              <w:rPr>
                <w:rFonts w:hint="eastAsia" w:ascii="宋体" w:hAnsi="宋体" w:eastAsia="宋体" w:cs="宋体"/>
                <w:sz w:val="24"/>
                <w:szCs w:val="24"/>
                <w:highlight w:val="none"/>
                <w:u w:val="single"/>
                <w:lang w:eastAsia="en-US"/>
              </w:rPr>
              <w:t xml:space="preserve"> </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lang w:eastAsia="en-US"/>
              </w:rPr>
              <w:t>分</w:t>
            </w:r>
          </w:p>
        </w:tc>
      </w:tr>
      <w:tr w14:paraId="7113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478" w:type="dxa"/>
            <w:vMerge w:val="continue"/>
            <w:tcBorders>
              <w:top w:val="nil"/>
            </w:tcBorders>
            <w:noWrap w:val="0"/>
            <w:vAlign w:val="top"/>
          </w:tcPr>
          <w:p w14:paraId="434CEFAE">
            <w:pPr>
              <w:keepNext w:val="0"/>
              <w:keepLines w:val="0"/>
              <w:pageBreakBefore w:val="0"/>
              <w:kinsoku/>
              <w:wordWrap/>
              <w:overflowPunct/>
              <w:topLinePunct w:val="0"/>
              <w:autoSpaceDE w:val="0"/>
              <w:autoSpaceDN w:val="0"/>
              <w:bidi w:val="0"/>
              <w:adjustRightInd/>
              <w:snapToGrid/>
              <w:spacing w:line="240" w:lineRule="auto"/>
              <w:textAlignment w:val="auto"/>
              <w:rPr>
                <w:rFonts w:hint="eastAsia" w:ascii="宋体" w:hAnsi="宋体" w:eastAsia="宋体" w:cs="宋体"/>
                <w:kern w:val="0"/>
                <w:sz w:val="24"/>
                <w:szCs w:val="24"/>
                <w:highlight w:val="none"/>
                <w:lang w:eastAsia="en-US"/>
              </w:rPr>
            </w:pPr>
          </w:p>
        </w:tc>
        <w:tc>
          <w:tcPr>
            <w:tcW w:w="1721" w:type="dxa"/>
            <w:noWrap w:val="0"/>
            <w:vAlign w:val="top"/>
          </w:tcPr>
          <w:p w14:paraId="339ECDD3">
            <w:pPr>
              <w:pStyle w:val="19"/>
              <w:keepNext w:val="0"/>
              <w:keepLines w:val="0"/>
              <w:pageBreakBefore w:val="0"/>
              <w:kinsoku/>
              <w:wordWrap/>
              <w:overflowPunct/>
              <w:topLinePunct w:val="0"/>
              <w:bidi w:val="0"/>
              <w:adjustRightInd/>
              <w:snapToGrid/>
              <w:spacing w:before="79" w:line="240" w:lineRule="auto"/>
              <w:ind w:left="357" w:right="35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供货安装（调试）方案</w:t>
            </w:r>
          </w:p>
        </w:tc>
        <w:tc>
          <w:tcPr>
            <w:tcW w:w="3744" w:type="dxa"/>
            <w:noWrap w:val="0"/>
            <w:vAlign w:val="top"/>
          </w:tcPr>
          <w:p w14:paraId="1622E6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sz w:val="24"/>
                <w:szCs w:val="24"/>
                <w:highlight w:val="none"/>
                <w:lang w:val="en-US" w:eastAsia="zh-CN"/>
              </w:rPr>
              <w:t>一、磋商小组</w:t>
            </w:r>
            <w:r>
              <w:rPr>
                <w:rFonts w:hint="eastAsia" w:ascii="宋体" w:hAnsi="宋体" w:eastAsia="宋体" w:cs="宋体"/>
                <w:color w:val="000000"/>
                <w:kern w:val="0"/>
                <w:sz w:val="24"/>
                <w:szCs w:val="24"/>
                <w:highlight w:val="none"/>
                <w:lang w:val="en-US" w:eastAsia="zh-CN" w:bidi="ar"/>
              </w:rPr>
              <w:t>根据采购文件要求对供应商设备运输、供货、安装、调试等情况进行综合评分；</w:t>
            </w:r>
          </w:p>
          <w:p w14:paraId="59E9C51E">
            <w:pPr>
              <w:pStyle w:val="1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二、根据供应商提供所配送产品技术综合能力、性价比、质量保证承诺等内容进行综合评分；</w:t>
            </w:r>
          </w:p>
          <w:p w14:paraId="450D4C6D">
            <w:pPr>
              <w:pStyle w:val="1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三、根据采购文件要求及供应商提供的服务管理制度、售后服务机构等方案情况进行综合评分：</w:t>
            </w:r>
          </w:p>
          <w:p w14:paraId="755E7C26">
            <w:pPr>
              <w:pStyle w:val="1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w:t>
            </w:r>
            <w:r>
              <w:rPr>
                <w:rFonts w:hint="eastAsia" w:ascii="宋体" w:hAnsi="宋体" w:eastAsia="宋体" w:cs="宋体"/>
                <w:kern w:val="2"/>
                <w:sz w:val="24"/>
                <w:szCs w:val="24"/>
                <w:highlight w:val="none"/>
                <w:lang w:val="zh-CN" w:eastAsia="en-US" w:bidi="ar-SA"/>
              </w:rPr>
              <w:t>针对本项目所提供的供货安装调试方案、调试培训、技术支持</w:t>
            </w:r>
            <w:r>
              <w:rPr>
                <w:rFonts w:hint="eastAsia" w:ascii="宋体" w:hAnsi="宋体" w:eastAsia="宋体" w:cs="宋体"/>
                <w:kern w:val="2"/>
                <w:sz w:val="24"/>
                <w:szCs w:val="24"/>
                <w:highlight w:val="none"/>
                <w:lang w:val="en-US" w:eastAsia="zh-CN" w:bidi="ar-SA"/>
              </w:rPr>
              <w:t>及</w:t>
            </w:r>
            <w:r>
              <w:rPr>
                <w:rFonts w:hint="eastAsia" w:ascii="宋体" w:hAnsi="宋体" w:eastAsia="宋体" w:cs="宋体"/>
                <w:sz w:val="24"/>
                <w:szCs w:val="24"/>
                <w:highlight w:val="none"/>
              </w:rPr>
              <w:t>供应商</w:t>
            </w:r>
            <w:r>
              <w:rPr>
                <w:rFonts w:hint="eastAsia" w:ascii="宋体" w:hAnsi="宋体" w:eastAsia="宋体" w:cs="宋体"/>
                <w:kern w:val="2"/>
                <w:sz w:val="24"/>
                <w:szCs w:val="24"/>
                <w:highlight w:val="none"/>
                <w:lang w:val="en-US" w:eastAsia="zh-CN" w:bidi="ar-SA"/>
              </w:rPr>
              <w:t>提供的配送服务方案等</w:t>
            </w:r>
            <w:r>
              <w:rPr>
                <w:rFonts w:hint="eastAsia" w:ascii="宋体" w:hAnsi="宋体" w:eastAsia="宋体" w:cs="宋体"/>
                <w:sz w:val="24"/>
                <w:szCs w:val="24"/>
                <w:highlight w:val="none"/>
                <w:lang w:val="en-US" w:eastAsia="zh-CN"/>
              </w:rPr>
              <w:t>内容进行综合评分</w:t>
            </w:r>
            <w:r>
              <w:rPr>
                <w:rFonts w:hint="eastAsia" w:ascii="宋体" w:hAnsi="宋体" w:eastAsia="宋体" w:cs="宋体"/>
                <w:kern w:val="2"/>
                <w:sz w:val="24"/>
                <w:szCs w:val="24"/>
                <w:highlight w:val="none"/>
                <w:lang w:val="en-US" w:eastAsia="zh-CN" w:bidi="ar-SA"/>
              </w:rPr>
              <w:t>；</w:t>
            </w:r>
          </w:p>
          <w:p w14:paraId="229FF33B">
            <w:pPr>
              <w:pStyle w:val="1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五、根据采购人的地理位置以及实际需求进行编制，配送服务方案应包括人员配置、对医院人员进行的培训、设备配置等方面内容进行综合评分</w:t>
            </w:r>
            <w:r>
              <w:rPr>
                <w:rFonts w:hint="eastAsia" w:ascii="宋体" w:hAnsi="宋体" w:cs="宋体"/>
                <w:kern w:val="2"/>
                <w:sz w:val="24"/>
                <w:szCs w:val="24"/>
                <w:highlight w:val="none"/>
                <w:lang w:val="en-US" w:eastAsia="zh-CN" w:bidi="ar-SA"/>
              </w:rPr>
              <w:t>；</w:t>
            </w:r>
          </w:p>
          <w:p w14:paraId="2CFAC77E">
            <w:pPr>
              <w:pStyle w:val="1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cs="宋体"/>
                <w:sz w:val="24"/>
                <w:szCs w:val="24"/>
                <w:highlight w:val="none"/>
                <w:lang w:val="en-US" w:eastAsia="zh-CN"/>
              </w:rPr>
            </w:pPr>
            <w:r>
              <w:rPr>
                <w:rFonts w:hint="eastAsia" w:ascii="宋体" w:hAnsi="宋体" w:cs="宋体"/>
                <w:kern w:val="2"/>
                <w:sz w:val="24"/>
                <w:szCs w:val="24"/>
                <w:highlight w:val="none"/>
                <w:lang w:val="en-US" w:eastAsia="zh-CN" w:bidi="ar-SA"/>
              </w:rPr>
              <w:t>六、</w:t>
            </w:r>
            <w:r>
              <w:rPr>
                <w:rFonts w:hint="eastAsia" w:ascii="宋体" w:hAnsi="宋体" w:eastAsia="宋体" w:cs="宋体"/>
                <w:sz w:val="24"/>
                <w:szCs w:val="24"/>
                <w:highlight w:val="none"/>
                <w:lang w:val="en-US" w:eastAsia="zh-CN"/>
              </w:rPr>
              <w:t>根据采购文件要求及供应商提供</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lang w:val="en-US" w:eastAsia="zh-CN"/>
              </w:rPr>
              <w:t>人员配置、保障措施、维修人员数量、响应时间等方案情况进行综合评分</w:t>
            </w:r>
            <w:r>
              <w:rPr>
                <w:rFonts w:hint="eastAsia" w:ascii="宋体" w:hAnsi="宋体" w:cs="宋体"/>
                <w:sz w:val="24"/>
                <w:szCs w:val="24"/>
                <w:highlight w:val="none"/>
                <w:lang w:val="en-US" w:eastAsia="zh-CN"/>
              </w:rPr>
              <w:t>；</w:t>
            </w:r>
          </w:p>
          <w:p w14:paraId="436CFB88">
            <w:pPr>
              <w:pStyle w:val="1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lang w:val="en-US" w:eastAsia="zh-CN"/>
              </w:rPr>
              <w:t>根据采购文件要求及供应商提供</w:t>
            </w:r>
            <w:r>
              <w:rPr>
                <w:rFonts w:hint="eastAsia" w:ascii="宋体" w:hAnsi="宋体" w:cs="宋体"/>
                <w:sz w:val="24"/>
                <w:szCs w:val="24"/>
                <w:highlight w:val="none"/>
                <w:lang w:val="en-US" w:eastAsia="zh-CN"/>
              </w:rPr>
              <w:t>的</w:t>
            </w:r>
            <w:r>
              <w:rPr>
                <w:rFonts w:hint="eastAsia" w:ascii="宋体" w:hAnsi="宋体" w:eastAsia="宋体" w:cs="宋体"/>
                <w:kern w:val="2"/>
                <w:sz w:val="24"/>
                <w:szCs w:val="24"/>
                <w:highlight w:val="none"/>
                <w:lang w:val="en-US" w:eastAsia="zh-CN" w:bidi="ar-SA"/>
              </w:rPr>
              <w:t>紧急（急救）配送、退换货、随访、学术等方面规划、质量承诺和保障方案、时效性等方面内容进行综合评分</w:t>
            </w:r>
            <w:r>
              <w:rPr>
                <w:rFonts w:hint="eastAsia" w:ascii="宋体" w:hAnsi="宋体" w:cs="宋体"/>
                <w:kern w:val="2"/>
                <w:sz w:val="24"/>
                <w:szCs w:val="24"/>
                <w:highlight w:val="none"/>
                <w:lang w:val="en-US" w:eastAsia="zh-CN" w:bidi="ar-SA"/>
              </w:rPr>
              <w:t>。</w:t>
            </w:r>
          </w:p>
          <w:p w14:paraId="2E680856">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以上内容分别：</w:t>
            </w:r>
          </w:p>
          <w:p w14:paraId="56E1BDE9">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（1）方案切合目标、内容严谨、措施得当的得6分； </w:t>
            </w:r>
          </w:p>
          <w:p w14:paraId="2CD747EA">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（2）方案具有一定的实用性，较为详细，基本满足采购需求的得4分；</w:t>
            </w:r>
          </w:p>
          <w:p w14:paraId="156E9813">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（3）供应商提供的供货安装（调试）方案满足部分采购需求，有待完善的得2分；</w:t>
            </w:r>
          </w:p>
          <w:p w14:paraId="1347609E">
            <w:pPr>
              <w:pStyle w:val="1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4"/>
                <w:szCs w:val="24"/>
                <w:highlight w:val="none"/>
                <w:lang w:eastAsia="en-US"/>
              </w:rPr>
            </w:pPr>
            <w:r>
              <w:rPr>
                <w:rFonts w:hint="eastAsia" w:ascii="宋体" w:hAnsi="宋体" w:eastAsia="宋体" w:cs="宋体"/>
                <w:b w:val="0"/>
                <w:bCs w:val="0"/>
                <w:kern w:val="2"/>
                <w:sz w:val="24"/>
                <w:szCs w:val="24"/>
                <w:highlight w:val="none"/>
                <w:lang w:val="en-US" w:eastAsia="zh-CN" w:bidi="ar-SA"/>
              </w:rPr>
              <w:t xml:space="preserve">（4）未提供的得0分。 </w:t>
            </w:r>
          </w:p>
        </w:tc>
        <w:tc>
          <w:tcPr>
            <w:tcW w:w="1579" w:type="dxa"/>
            <w:noWrap w:val="0"/>
            <w:vAlign w:val="top"/>
          </w:tcPr>
          <w:p w14:paraId="35CA3EC7">
            <w:pPr>
              <w:pStyle w:val="19"/>
              <w:keepNext w:val="0"/>
              <w:keepLines w:val="0"/>
              <w:pageBreakBefore w:val="0"/>
              <w:tabs>
                <w:tab w:val="left" w:pos="599"/>
              </w:tabs>
              <w:kinsoku/>
              <w:wordWrap/>
              <w:overflowPunct/>
              <w:topLinePunct w:val="0"/>
              <w:bidi w:val="0"/>
              <w:adjustRightInd/>
              <w:snapToGrid/>
              <w:spacing w:before="79" w:line="240" w:lineRule="auto"/>
              <w:ind w:right="355"/>
              <w:jc w:val="right"/>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0-</w:t>
            </w:r>
            <w:r>
              <w:rPr>
                <w:rFonts w:hint="eastAsia" w:ascii="宋体" w:hAnsi="宋体" w:eastAsia="宋体" w:cs="宋体"/>
                <w:sz w:val="24"/>
                <w:szCs w:val="24"/>
                <w:highlight w:val="none"/>
                <w:u w:val="single"/>
                <w:lang w:eastAsia="en-US"/>
              </w:rPr>
              <w:t xml:space="preserve"> </w:t>
            </w:r>
            <w:r>
              <w:rPr>
                <w:rFonts w:hint="eastAsia" w:cs="宋体"/>
                <w:sz w:val="24"/>
                <w:szCs w:val="24"/>
                <w:highlight w:val="none"/>
                <w:u w:val="single"/>
                <w:lang w:val="en-US" w:eastAsia="zh-CN"/>
              </w:rPr>
              <w:t>42</w:t>
            </w:r>
            <w:r>
              <w:rPr>
                <w:rFonts w:hint="eastAsia" w:ascii="宋体" w:hAnsi="宋体" w:eastAsia="宋体" w:cs="宋体"/>
                <w:sz w:val="24"/>
                <w:szCs w:val="24"/>
                <w:highlight w:val="none"/>
                <w:lang w:eastAsia="en-US"/>
              </w:rPr>
              <w:t>分</w:t>
            </w:r>
          </w:p>
        </w:tc>
      </w:tr>
      <w:tr w14:paraId="4E837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478" w:type="dxa"/>
            <w:noWrap w:val="0"/>
            <w:vAlign w:val="top"/>
          </w:tcPr>
          <w:p w14:paraId="4375D3C8">
            <w:pPr>
              <w:pStyle w:val="19"/>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4"/>
                <w:szCs w:val="24"/>
                <w:highlight w:val="none"/>
                <w:lang w:eastAsia="en-US"/>
              </w:rPr>
            </w:pPr>
          </w:p>
          <w:p w14:paraId="1BC5B730">
            <w:pPr>
              <w:pStyle w:val="19"/>
              <w:keepNext w:val="0"/>
              <w:keepLines w:val="0"/>
              <w:pageBreakBefore w:val="0"/>
              <w:kinsoku/>
              <w:wordWrap/>
              <w:overflowPunct/>
              <w:topLinePunct w:val="0"/>
              <w:bidi w:val="0"/>
              <w:adjustRightInd/>
              <w:snapToGrid/>
              <w:spacing w:before="11" w:line="240" w:lineRule="auto"/>
              <w:textAlignment w:val="auto"/>
              <w:rPr>
                <w:rFonts w:hint="eastAsia" w:ascii="宋体" w:hAnsi="宋体" w:eastAsia="宋体" w:cs="宋体"/>
                <w:sz w:val="24"/>
                <w:szCs w:val="24"/>
                <w:highlight w:val="none"/>
                <w:lang w:eastAsia="en-US"/>
              </w:rPr>
            </w:pPr>
          </w:p>
          <w:p w14:paraId="2EB7DF7C">
            <w:pPr>
              <w:pStyle w:val="19"/>
              <w:keepNext w:val="0"/>
              <w:keepLines w:val="0"/>
              <w:pageBreakBefore w:val="0"/>
              <w:kinsoku/>
              <w:wordWrap/>
              <w:overflowPunct/>
              <w:topLinePunct w:val="0"/>
              <w:bidi w:val="0"/>
              <w:adjustRightInd/>
              <w:snapToGrid/>
              <w:spacing w:line="240" w:lineRule="auto"/>
              <w:ind w:left="9"/>
              <w:jc w:val="center"/>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价格分</w:t>
            </w:r>
          </w:p>
          <w:p w14:paraId="6B47EE7C">
            <w:pPr>
              <w:pStyle w:val="19"/>
              <w:keepNext w:val="0"/>
              <w:keepLines w:val="0"/>
              <w:pageBreakBefore w:val="0"/>
              <w:tabs>
                <w:tab w:val="left" w:pos="609"/>
              </w:tabs>
              <w:kinsoku/>
              <w:wordWrap/>
              <w:overflowPunct/>
              <w:topLinePunct w:val="0"/>
              <w:bidi w:val="0"/>
              <w:adjustRightInd/>
              <w:snapToGrid/>
              <w:spacing w:before="160" w:line="240" w:lineRule="auto"/>
              <w:ind w:left="9"/>
              <w:jc w:val="center"/>
              <w:textAlignment w:val="auto"/>
              <w:rPr>
                <w:rFonts w:hint="eastAsia" w:ascii="宋体" w:hAnsi="宋体" w:eastAsia="宋体" w:cs="宋体"/>
                <w:sz w:val="24"/>
                <w:szCs w:val="24"/>
                <w:highlight w:val="none"/>
                <w:lang w:eastAsia="en-US"/>
              </w:rPr>
            </w:pPr>
            <w:r>
              <w:rPr>
                <w:rFonts w:hint="eastAsia" w:ascii="宋体" w:hAnsi="宋体" w:eastAsia="宋体" w:cs="宋体"/>
                <w:sz w:val="24"/>
                <w:szCs w:val="24"/>
                <w:highlight w:val="none"/>
                <w:lang w:eastAsia="en-US"/>
              </w:rPr>
              <w:t>（</w:t>
            </w:r>
            <w:r>
              <w:rPr>
                <w:rFonts w:hint="eastAsia" w:ascii="宋体" w:hAnsi="宋体" w:eastAsia="宋体" w:cs="宋体"/>
                <w:sz w:val="24"/>
                <w:szCs w:val="24"/>
                <w:highlight w:val="none"/>
                <w:u w:val="single"/>
                <w:lang w:eastAsia="en-US"/>
              </w:rPr>
              <w:t xml:space="preserve"> </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u w:val="single"/>
                <w:lang w:eastAsia="en-US"/>
              </w:rPr>
              <w:tab/>
            </w:r>
            <w:r>
              <w:rPr>
                <w:rFonts w:hint="eastAsia" w:ascii="宋体" w:hAnsi="宋体" w:eastAsia="宋体" w:cs="宋体"/>
                <w:sz w:val="24"/>
                <w:szCs w:val="24"/>
                <w:highlight w:val="none"/>
                <w:lang w:eastAsia="en-US"/>
              </w:rPr>
              <w:t>分）</w:t>
            </w:r>
          </w:p>
        </w:tc>
        <w:tc>
          <w:tcPr>
            <w:tcW w:w="7044" w:type="dxa"/>
            <w:gridSpan w:val="3"/>
            <w:noWrap w:val="0"/>
            <w:vAlign w:val="top"/>
          </w:tcPr>
          <w:p w14:paraId="409084C6">
            <w:pPr>
              <w:pStyle w:val="19"/>
              <w:keepNext w:val="0"/>
              <w:keepLines w:val="0"/>
              <w:pageBreakBefore w:val="0"/>
              <w:kinsoku/>
              <w:wordWrap/>
              <w:overflowPunct/>
              <w:topLinePunct w:val="0"/>
              <w:bidi w:val="0"/>
              <w:adjustRightInd/>
              <w:snapToGrid/>
              <w:spacing w:before="81" w:line="240" w:lineRule="auto"/>
              <w:ind w:left="108" w:right="94"/>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价格分统一采用低价优先法，即满足招标文件要求且投标价格最</w:t>
            </w:r>
            <w:r>
              <w:rPr>
                <w:rFonts w:hint="eastAsia" w:ascii="宋体" w:hAnsi="宋体" w:eastAsia="宋体" w:cs="宋体"/>
                <w:spacing w:val="-1"/>
                <w:sz w:val="24"/>
                <w:szCs w:val="24"/>
                <w:highlight w:val="none"/>
              </w:rPr>
              <w:t>低的投标报价为评标基准价，其价格分为满分</w:t>
            </w:r>
            <w:r>
              <w:rPr>
                <w:rFonts w:hint="eastAsia" w:ascii="宋体" w:hAnsi="宋体" w:eastAsia="宋体" w:cs="宋体"/>
                <w:spacing w:val="117"/>
                <w:sz w:val="24"/>
                <w:szCs w:val="24"/>
                <w:highlight w:val="none"/>
                <w:u w:val="single"/>
              </w:rPr>
              <w:t xml:space="preserve"> </w:t>
            </w:r>
            <w:r>
              <w:rPr>
                <w:rFonts w:hint="eastAsia" w:ascii="宋体" w:hAnsi="宋体" w:eastAsia="宋体" w:cs="宋体"/>
                <w:spacing w:val="117"/>
                <w:sz w:val="24"/>
                <w:szCs w:val="24"/>
                <w:highlight w:val="none"/>
                <w:u w:val="single"/>
                <w:lang w:val="en-US" w:eastAsia="zh-CN"/>
              </w:rPr>
              <w:t>30</w:t>
            </w:r>
            <w:r>
              <w:rPr>
                <w:rFonts w:hint="eastAsia" w:ascii="宋体" w:hAnsi="宋体" w:eastAsia="宋体" w:cs="宋体"/>
                <w:spacing w:val="-5"/>
                <w:sz w:val="24"/>
                <w:szCs w:val="24"/>
                <w:highlight w:val="none"/>
              </w:rPr>
              <w:t>分。其他</w:t>
            </w:r>
            <w:r>
              <w:rPr>
                <w:rFonts w:hint="eastAsia" w:ascii="宋体" w:hAnsi="宋体" w:eastAsia="宋体" w:cs="宋体"/>
                <w:sz w:val="24"/>
                <w:szCs w:val="24"/>
                <w:highlight w:val="none"/>
              </w:rPr>
              <w:t>供应商的价格分统一按照下列公式计算：</w:t>
            </w:r>
          </w:p>
          <w:p w14:paraId="072DE34B">
            <w:pPr>
              <w:pStyle w:val="19"/>
              <w:keepNext w:val="0"/>
              <w:keepLines w:val="0"/>
              <w:pageBreakBefore w:val="0"/>
              <w:tabs>
                <w:tab w:val="left" w:pos="5149"/>
              </w:tabs>
              <w:kinsoku/>
              <w:wordWrap/>
              <w:overflowPunct/>
              <w:topLinePunct w:val="0"/>
              <w:bidi w:val="0"/>
              <w:adjustRightInd/>
              <w:snapToGrid/>
              <w:spacing w:before="2" w:line="240" w:lineRule="auto"/>
              <w:ind w:left="10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30</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％×100</w:t>
            </w:r>
          </w:p>
        </w:tc>
      </w:tr>
    </w:tbl>
    <w:p w14:paraId="0C1FCA27">
      <w:pPr>
        <w:pStyle w:val="11"/>
        <w:spacing w:line="360" w:lineRule="auto"/>
        <w:ind w:left="0"/>
        <w:rPr>
          <w:sz w:val="21"/>
          <w:szCs w:val="21"/>
          <w:highlight w:val="none"/>
        </w:rPr>
      </w:pPr>
    </w:p>
    <w:p w14:paraId="493D6C56">
      <w:pPr>
        <w:pStyle w:val="11"/>
        <w:spacing w:before="1" w:line="360" w:lineRule="auto"/>
        <w:ind w:left="0"/>
        <w:rPr>
          <w:sz w:val="21"/>
          <w:szCs w:val="21"/>
          <w:highlight w:val="none"/>
        </w:rPr>
      </w:pPr>
    </w:p>
    <w:p w14:paraId="46C19B3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D3DB9"/>
    <w:multiLevelType w:val="multilevel"/>
    <w:tmpl w:val="83BD3DB9"/>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6"/>
      <w:lvlText w:val="           "/>
      <w:lvlJc w:val="left"/>
      <w:pPr>
        <w:tabs>
          <w:tab w:val="left" w:pos="1440"/>
        </w:tabs>
        <w:ind w:left="1152" w:hanging="1152"/>
      </w:pPr>
      <w:rPr>
        <w:rFonts w:hint="eastAsia"/>
      </w:rPr>
    </w:lvl>
    <w:lvl w:ilvl="6" w:tentative="0">
      <w:start w:val="1"/>
      <w:numFmt w:val="decimal"/>
      <w:pStyle w:val="7"/>
      <w:lvlText w:val="%1.%2.%3.%4.%5.%6.%7"/>
      <w:lvlJc w:val="left"/>
      <w:pPr>
        <w:tabs>
          <w:tab w:val="left" w:pos="2520"/>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abstractNum w:abstractNumId="1">
    <w:nsid w:val="667D282E"/>
    <w:multiLevelType w:val="multilevel"/>
    <w:tmpl w:val="667D282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w w:val="100"/>
        <w:lang w:val="zh-CN" w:eastAsia="zh-CN" w:bidi="zh-CN"/>
      </w:rPr>
    </w:lvl>
    <w:lvl w:ilvl="2" w:tentative="0">
      <w:start w:val="1"/>
      <w:numFmt w:val="decimal"/>
      <w:lvlText w:val="%1.%2.%3"/>
      <w:lvlJc w:val="left"/>
      <w:pPr>
        <w:ind w:left="1312" w:hanging="644"/>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E3FF1"/>
    <w:rsid w:val="0A5E3FF1"/>
    <w:rsid w:val="0DC44AC8"/>
    <w:rsid w:val="26C1607E"/>
    <w:rsid w:val="27FB1E39"/>
    <w:rsid w:val="43A658E6"/>
    <w:rsid w:val="489F276E"/>
    <w:rsid w:val="5C056827"/>
    <w:rsid w:val="62313700"/>
    <w:rsid w:val="6AE43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numPr>
        <w:ilvl w:val="0"/>
        <w:numId w:val="1"/>
      </w:numPr>
      <w:spacing w:before="340" w:after="330" w:line="576" w:lineRule="auto"/>
      <w:ind w:left="432" w:hanging="432"/>
      <w:jc w:val="center"/>
      <w:outlineLvl w:val="0"/>
    </w:pPr>
    <w:rPr>
      <w:rFonts w:ascii="Times New Roman" w:hAnsi="Times New Roman" w:eastAsia="宋体" w:cs="Times New Roman"/>
      <w:b/>
      <w:bCs/>
      <w:kern w:val="44"/>
      <w:sz w:val="32"/>
      <w:szCs w:val="44"/>
    </w:rPr>
  </w:style>
  <w:style w:type="paragraph" w:styleId="3">
    <w:name w:val="heading 2"/>
    <w:basedOn w:val="1"/>
    <w:next w:val="1"/>
    <w:semiHidden/>
    <w:unhideWhenUsed/>
    <w:qFormat/>
    <w:uiPriority w:val="0"/>
    <w:pPr>
      <w:keepNext/>
      <w:keepLines/>
      <w:spacing w:before="260" w:beforeLines="0" w:after="260" w:afterLines="0" w:line="413" w:lineRule="auto"/>
      <w:jc w:val="center"/>
      <w:outlineLvl w:val="1"/>
    </w:pPr>
    <w:rPr>
      <w:rFonts w:ascii="Arial" w:hAnsi="Arial" w:eastAsia="黑体" w:cs="Times New Roman"/>
      <w:b/>
      <w:sz w:val="30"/>
      <w:szCs w:val="21"/>
    </w:rPr>
  </w:style>
  <w:style w:type="paragraph" w:styleId="4">
    <w:name w:val="heading 3"/>
    <w:basedOn w:val="1"/>
    <w:next w:val="1"/>
    <w:link w:val="16"/>
    <w:semiHidden/>
    <w:unhideWhenUsed/>
    <w:qFormat/>
    <w:uiPriority w:val="0"/>
    <w:pPr>
      <w:keepNext/>
      <w:keepLines/>
      <w:spacing w:before="260" w:after="260" w:line="416" w:lineRule="auto"/>
      <w:jc w:val="center"/>
      <w:outlineLvl w:val="2"/>
    </w:pPr>
    <w:rPr>
      <w:rFonts w:ascii="Times New Roman" w:hAnsi="Times New Roman" w:eastAsia="仿宋" w:cs="Times New Roman"/>
      <w:b/>
      <w:bCs/>
      <w:sz w:val="32"/>
      <w:szCs w:val="32"/>
    </w:rPr>
  </w:style>
  <w:style w:type="paragraph" w:styleId="5">
    <w:name w:val="heading 4"/>
    <w:basedOn w:val="1"/>
    <w:next w:val="1"/>
    <w:link w:val="17"/>
    <w:semiHidden/>
    <w:unhideWhenUsed/>
    <w:qFormat/>
    <w:uiPriority w:val="0"/>
    <w:pPr>
      <w:keepNext/>
      <w:keepLines/>
      <w:spacing w:before="280" w:after="290" w:line="376" w:lineRule="auto"/>
      <w:outlineLvl w:val="3"/>
    </w:pPr>
    <w:rPr>
      <w:rFonts w:ascii="Cambria" w:hAnsi="Cambria" w:eastAsia="仿宋" w:cs="Times New Roman"/>
      <w:b/>
      <w:bCs/>
      <w:sz w:val="28"/>
      <w:szCs w:val="28"/>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0">
    <w:name w:val="Normal Indent"/>
    <w:basedOn w:val="1"/>
    <w:qFormat/>
    <w:uiPriority w:val="0"/>
    <w:pPr>
      <w:ind w:firstLine="420" w:firstLineChars="200"/>
    </w:pPr>
  </w:style>
  <w:style w:type="paragraph" w:styleId="11">
    <w:name w:val="Body Text"/>
    <w:basedOn w:val="1"/>
    <w:next w:val="1"/>
    <w:qFormat/>
    <w:uiPriority w:val="1"/>
    <w:pPr>
      <w:autoSpaceDE w:val="0"/>
      <w:autoSpaceDN w:val="0"/>
      <w:ind w:left="220"/>
      <w:jc w:val="left"/>
    </w:pPr>
    <w:rPr>
      <w:rFonts w:ascii="宋体" w:hAnsi="宋体" w:eastAsia="宋体" w:cs="宋体"/>
      <w:kern w:val="0"/>
      <w:sz w:val="24"/>
      <w:szCs w:val="24"/>
      <w:lang w:val="zh-CN" w:bidi="zh-CN"/>
    </w:rPr>
  </w:style>
  <w:style w:type="paragraph" w:styleId="12">
    <w:name w:val="Body Text First Indent"/>
    <w:basedOn w:val="11"/>
    <w:unhideWhenUsed/>
    <w:qFormat/>
    <w:uiPriority w:val="99"/>
    <w:pPr>
      <w:spacing w:before="100" w:beforeAutospacing="1"/>
      <w:ind w:firstLine="420" w:firstLineChars="100"/>
    </w:pPr>
    <w:rPr>
      <w:rFonts w:ascii="Times New Roman" w:hAnsi="Times New Roman"/>
    </w:rPr>
  </w:style>
  <w:style w:type="character" w:customStyle="1" w:styleId="15">
    <w:name w:val="标题 1 Char"/>
    <w:link w:val="2"/>
    <w:autoRedefine/>
    <w:qFormat/>
    <w:uiPriority w:val="99"/>
    <w:rPr>
      <w:rFonts w:ascii="Times New Roman" w:hAnsi="Times New Roman" w:eastAsia="宋体" w:cs="Times New Roman"/>
      <w:b/>
      <w:bCs/>
      <w:kern w:val="44"/>
      <w:sz w:val="32"/>
      <w:szCs w:val="44"/>
    </w:rPr>
  </w:style>
  <w:style w:type="character" w:customStyle="1" w:styleId="16">
    <w:name w:val="标题 3 Char"/>
    <w:link w:val="4"/>
    <w:uiPriority w:val="0"/>
    <w:rPr>
      <w:rFonts w:ascii="Times New Roman" w:hAnsi="Times New Roman" w:eastAsia="仿宋" w:cs="Times New Roman"/>
      <w:b/>
      <w:bCs/>
      <w:kern w:val="2"/>
      <w:sz w:val="32"/>
      <w:szCs w:val="32"/>
      <w:lang w:val="en-US" w:eastAsia="zh-CN" w:bidi="ar-SA"/>
    </w:rPr>
  </w:style>
  <w:style w:type="character" w:customStyle="1" w:styleId="17">
    <w:name w:val="标题 4 Char"/>
    <w:link w:val="5"/>
    <w:qFormat/>
    <w:uiPriority w:val="0"/>
    <w:rPr>
      <w:rFonts w:ascii="Cambria" w:hAnsi="Cambria" w:eastAsia="仿宋" w:cs="Times New Roman"/>
      <w:b/>
      <w:bCs/>
      <w:kern w:val="2"/>
      <w:sz w:val="28"/>
      <w:szCs w:val="28"/>
      <w:lang w:val="en-US" w:eastAsia="zh-CN" w:bidi="ar-SA"/>
    </w:rPr>
  </w:style>
  <w:style w:type="paragraph" w:styleId="18">
    <w:name w:val="List Paragraph"/>
    <w:basedOn w:val="1"/>
    <w:autoRedefine/>
    <w:qFormat/>
    <w:uiPriority w:val="1"/>
    <w:pPr>
      <w:ind w:firstLine="420" w:firstLineChars="200"/>
    </w:pPr>
    <w:rPr>
      <w:rFonts w:ascii="Calibri" w:hAnsi="Calibri" w:eastAsia="宋体" w:cs="Times New Roman"/>
    </w:rPr>
  </w:style>
  <w:style w:type="paragraph" w:customStyle="1" w:styleId="19">
    <w:name w:val="Table Paragraph"/>
    <w:basedOn w:val="1"/>
    <w:autoRedefine/>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2025-03-21T07:59:00Z</dcterms:created>
  <dc:creator>哈哈</dc:creator>
  <cp:lastModifiedBy>哈哈</cp:lastModifiedBy>
  <dcterms:modified xsi:type="dcterms:W3CDTF">2025-03-21T08:00:14Z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A4A8F4CF33BC4112A076A3D8553451E8_11</vt:lpwstr>
  </property>
  <property fmtid="{D5CDD505-2E9C-101B-9397-08002B2CF9AE}" pid="4" name="KSOTemplateDocerSaveRecord">
    <vt:lpwstr>eyJoZGlkIjoiYTY4ZmI1MmFhYzljMTZlZWM5N2I3MmQyMmY5YmU3ZGEiLCJ1c2VySWQiOiI0MDE0OTQ2NjAifQ==</vt:lpwstr>
  </property>
</Properties>
</file>